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FEC" w:rsidRDefault="00B64FB1">
      <w:pPr>
        <w:tabs>
          <w:tab w:val="center" w:pos="4536"/>
          <w:tab w:val="right" w:pos="9072"/>
        </w:tabs>
        <w:spacing w:after="0" w:line="240" w:lineRule="auto"/>
        <w:jc w:val="center"/>
        <w:rPr>
          <w:color w:val="76923C"/>
        </w:rPr>
      </w:pPr>
      <w:r>
        <w:rPr>
          <w:noProof/>
          <w:color w:val="000000"/>
          <w:lang w:eastAsia="bs-Latn-BA"/>
        </w:rPr>
        <w:drawing>
          <wp:inline distT="0" distB="0" distL="0" distR="0">
            <wp:extent cx="3919855" cy="501015"/>
            <wp:effectExtent l="0" t="0" r="0" b="0"/>
            <wp:docPr id="6" name="image1.jpg" descr="MemoUNT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jpg" descr="MemoUNTZ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FEC" w:rsidRDefault="00045FEC">
      <w:pPr>
        <w:spacing w:after="0" w:line="240" w:lineRule="auto"/>
        <w:rPr>
          <w:rFonts w:ascii="Arial" w:eastAsia="Arial" w:hAnsi="Arial" w:cs="Arial"/>
          <w:b/>
          <w:color w:val="000000"/>
          <w:sz w:val="14"/>
          <w:szCs w:val="14"/>
        </w:rPr>
      </w:pPr>
    </w:p>
    <w:p w:rsidR="00045FEC" w:rsidRDefault="00B64FB1">
      <w:pPr>
        <w:spacing w:after="0" w:line="24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SYLLABUS</w:t>
      </w:r>
    </w:p>
    <w:p w:rsidR="00045FEC" w:rsidRDefault="00045FEC">
      <w:pPr>
        <w:spacing w:after="0" w:line="240" w:lineRule="auto"/>
        <w:jc w:val="center"/>
        <w:rPr>
          <w:rFonts w:ascii="Book Antiqua" w:eastAsia="Book Antiqua" w:hAnsi="Book Antiqua" w:cs="Book Antiqua"/>
          <w:b/>
          <w:color w:val="000000"/>
          <w:sz w:val="20"/>
          <w:szCs w:val="20"/>
        </w:rPr>
      </w:pPr>
    </w:p>
    <w:p w:rsidR="00045FEC" w:rsidRDefault="00045FEC">
      <w:pPr>
        <w:spacing w:after="0" w:line="240" w:lineRule="auto"/>
        <w:ind w:right="140"/>
        <w:rPr>
          <w:rFonts w:ascii="Book Antiqua" w:eastAsia="Book Antiqua" w:hAnsi="Book Antiqua" w:cs="Book Antiqua"/>
          <w:b/>
          <w:color w:val="000000"/>
          <w:sz w:val="16"/>
          <w:szCs w:val="16"/>
        </w:rPr>
      </w:pPr>
    </w:p>
    <w:tbl>
      <w:tblPr>
        <w:tblStyle w:val="Style40"/>
        <w:tblW w:w="10314" w:type="dxa"/>
        <w:tblLayout w:type="fixed"/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770"/>
        <w:gridCol w:w="856"/>
      </w:tblGrid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BIOHEMIJA II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22"/>
          <w:wAfter w:w="6292" w:type="dxa"/>
          <w:trHeight w:val="329"/>
        </w:trPr>
        <w:tc>
          <w:tcPr>
            <w:tcW w:w="402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1799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35"/>
          <w:wAfter w:w="9391" w:type="dxa"/>
          <w:trHeight w:val="329"/>
        </w:trPr>
        <w:tc>
          <w:tcPr>
            <w:tcW w:w="305" w:type="dxa"/>
            <w:tcBorders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B64FB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I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35"/>
          <w:wAfter w:w="9391" w:type="dxa"/>
          <w:trHeight w:val="329"/>
        </w:trPr>
        <w:tc>
          <w:tcPr>
            <w:tcW w:w="305" w:type="dxa"/>
            <w:tcBorders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B64FB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p w:rsidR="00045FEC" w:rsidRDefault="00045FEC">
            <w:pPr>
              <w:widowControl w:val="0"/>
              <w:spacing w:after="0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tbl>
            <w:tblPr>
              <w:tblStyle w:val="Style41"/>
              <w:tblW w:w="1247" w:type="dxa"/>
              <w:tblInd w:w="19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7"/>
            </w:tblGrid>
            <w:tr w:rsidR="00045FEC">
              <w:trPr>
                <w:trHeight w:val="329"/>
              </w:trPr>
              <w:tc>
                <w:tcPr>
                  <w:tcW w:w="1247" w:type="dxa"/>
                  <w:vAlign w:val="center"/>
                </w:tcPr>
                <w:p w:rsidR="00045FEC" w:rsidRDefault="00B64FB1">
                  <w:pPr>
                    <w:spacing w:after="0" w:line="240" w:lineRule="auto"/>
                    <w:jc w:val="center"/>
                    <w:rPr>
                      <w:rFonts w:ascii="Cambria" w:eastAsia="Cambria" w:hAnsi="Cambria" w:cs="Cambria"/>
                      <w:b/>
                      <w:color w:val="000000"/>
                      <w:sz w:val="18"/>
                      <w:szCs w:val="18"/>
                    </w:rPr>
                  </w:pPr>
                  <w:bookmarkStart w:id="0" w:name="bookmark=id.gjdgxs" w:colFirst="0" w:colLast="0"/>
                  <w:bookmarkEnd w:id="0"/>
                  <w:r>
                    <w:rPr>
                      <w:rFonts w:ascii="Cambria" w:eastAsia="Cambria" w:hAnsi="Cambria" w:cs="Cambria"/>
                      <w:b/>
                      <w:color w:val="000000"/>
                      <w:sz w:val="18"/>
                      <w:szCs w:val="18"/>
                    </w:rPr>
                    <w:t xml:space="preserve">Obavezni </w:t>
                  </w:r>
                </w:p>
              </w:tc>
            </w:tr>
          </w:tbl>
          <w:p w:rsidR="00045FEC" w:rsidRDefault="00045FEC">
            <w:pPr>
              <w:spacing w:after="0" w:line="240" w:lineRule="auto"/>
              <w:ind w:left="322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2890" w:type="dxa"/>
            <w:gridSpan w:val="9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32"/>
          <w:wAfter w:w="8515" w:type="dxa"/>
          <w:trHeight w:val="329"/>
        </w:trPr>
        <w:tc>
          <w:tcPr>
            <w:tcW w:w="305" w:type="dxa"/>
            <w:tcBorders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B64FB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:rsidR="00045FEC" w:rsidRDefault="00B64FB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4   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92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8"/>
            <w:tcBorders>
              <w:top w:val="single" w:sz="4" w:space="0" w:color="000000"/>
            </w:tcBorders>
            <w:tcMar>
              <w:top w:w="57" w:type="dxa"/>
            </w:tcMar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1"/>
          <w:wAfter w:w="856" w:type="dxa"/>
          <w:trHeight w:val="454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6  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</w:tcBorders>
            <w:vAlign w:val="center"/>
          </w:tcPr>
          <w:p w:rsidR="00045FEC" w:rsidRDefault="00B64FB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B64FB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1858" w:type="dxa"/>
            <w:gridSpan w:val="6"/>
            <w:tcBorders>
              <w:left w:val="single" w:sz="4" w:space="0" w:color="000000"/>
            </w:tcBorders>
            <w:vAlign w:val="center"/>
          </w:tcPr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4"/>
            <w:tcBorders>
              <w:left w:val="nil"/>
            </w:tcBorders>
            <w:vAlign w:val="center"/>
          </w:tcPr>
          <w:p w:rsidR="00045FEC" w:rsidRDefault="00B64FB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Opterećenje:</w:t>
            </w:r>
          </w:p>
          <w:p w:rsidR="00045FEC" w:rsidRDefault="00B64FB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  <w:t>(u satima)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ind w:left="434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570" w:type="dxa"/>
            <w:gridSpan w:val="6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gridAfter w:val="1"/>
          <w:wAfter w:w="856" w:type="dxa"/>
          <w:trHeight w:val="329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spacing w:after="0" w:line="240" w:lineRule="auto"/>
              <w:ind w:left="284" w:right="16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B64FB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2  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B64FB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2250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5FEC" w:rsidRDefault="00B64FB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Nastava: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B64FB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bookmarkStart w:id="1" w:name="bookmark=id.30j0zll" w:colFirst="0" w:colLast="0"/>
            <w:bookmarkEnd w:id="1"/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45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ind w:left="434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26" w:type="dxa"/>
            <w:gridSpan w:val="2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gridAfter w:val="1"/>
          <w:wAfter w:w="856" w:type="dxa"/>
          <w:trHeight w:val="329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spacing w:after="0" w:line="240" w:lineRule="auto"/>
              <w:ind w:right="16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B64FB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B64FB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2250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5FEC" w:rsidRDefault="00B64FB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Individualni rad: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B64FB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bookmarkStart w:id="2" w:name="bookmark=id.1fob9te" w:colFirst="0" w:colLast="0"/>
            <w:bookmarkEnd w:id="2"/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   109   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ind w:left="434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570" w:type="dxa"/>
            <w:gridSpan w:val="6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gridAfter w:val="1"/>
          <w:wAfter w:w="856" w:type="dxa"/>
          <w:trHeight w:val="329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spacing w:after="0" w:line="240" w:lineRule="auto"/>
              <w:ind w:right="16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B64FB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  2  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B64FB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2250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5FEC" w:rsidRDefault="00B64FB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B64FB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154  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  Prirodno-matematički fakultet   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/>
                <w:b/>
                <w:color w:val="000000"/>
                <w:sz w:val="18"/>
                <w:szCs w:val="18"/>
              </w:rPr>
              <w:t>Hemija/Edukacija u hemiji/Primijenjena hemija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 xml:space="preserve">dr.sc. Adaleta Softić, redovni profesor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B64FB1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Cilj nastave iz Biohemije II je da studenti steknu osnovna znanja o  metabolizmu i osnovnim principima tranformacije energije u biološkim sistemima. Izučavanje metabolizma karbohidrata. Izučavanje metabolizma lipida. Izučavanje metabolizma aminokiselina i proteina. Upoznavanje sa osnovnim principima regulacije metaboličkih puteva. Razumijevanje faktora koji utiču na dinamiku ćelijskog metabolizma i principa regulacije i kontrole metabolizma.</w:t>
            </w:r>
          </w:p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Cilj praktične nastave je da studenti ovladaju biohemijskim tehnikama  i da ih prema potrebi i apliciraju.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Student treba da usvoji znanja o metabolizmu, nastajanju i skladištenju metaboličke energije, sintezi i razgradnji osnovnih ćelijskih biomolekula i osnovnim principima regulacije metabolizma. Ovaj kurs treba da uvede studenta u biohemijske principe koji će mu pomoći da razumije kompleksne životne procese kao i značaj biohemijskih mehanizama koji upravljaju organizmom.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Osnovni koncept i dizajn metabolizma. Katabolizam. Anabolizam. Principi bioenergetike; ATP. Asimilacija energije u živim sistemima-fotosinteza. Metabolizam karbohidrata: glikoliza, glukoneogeneza, metabolizam glikogena, put pentoza fosfata, fermentacije. Citratni ciklus. Oksidativna fosforilacija. Metabolizam lipida: varenje i apsorpcija lipida. Lipoproteini. Oksidacija masnih kiselina. Nastajanje ketonskih tijela. Biosinteza masnih kiselina. Elongacija i desaturacija masnih kiselina. Esencijalne masne kiseline. Biosinteza triacilglicerola. Biosinteza holesterola. Metabolizam aminokiselina: transaminacija, oksidativna deaminacija L-glutamata, sinteza uree. Glavni putevi metaboliziranja ugljikovih skeleta aminokiselina. Metabolizam purinskih i pirimidinskih baza. Regulacija metaboličkih puteva: principi hormonske regulacije, alosterička kontrola. 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B64FB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Nastava se izvodi u obliku predavanja, praktičnih vježbi i konsultacija. Studenti su obavezni prisustvovati predavanjima i vježbama. Aktivno sudjelovanje studenata na predavanju kroz diskusiju, na osnovu već stečenih  znanja. </w:t>
            </w:r>
          </w:p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Eksperimentalne vježbe podrazumijevaju samostalni i grupni rad studenata. Aktivno sudjelovanje studenata u interpretaciji vježbi  i njihovih rezultata u skladu sa postavljenim ciljevima kursa. Nakon obavljene vježbe student predaje rezultate na provjeru i ovjeru asistentu.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B64FB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Provjera znanja će se vršiti kroz predispitne obaveze i završni ispit. Predispitne obaveze sastoje se od dva parcijalna ispita, dva kolokvija, prisustva i aktivnosti na predavanjima i aktivnosti na vježbama. Prvi parcijalni ispit i prvi kolokvij realizuju se u 9. sedmici nastave i obuhvataju nastavno gradivo obrađeno na predavanjima, odnosno vježbama u prvih osam sedmica, a drugi parcijalni ispit i drugi kolokvij realizuju se u 15. sedmici nastave i obuhvataju gradivo obrađeno od 9. do 14. sedmice nastave na predavanjima odnosno vježbama. Završni ispit polaže se na redovnim ispitnim rokovima i obuhvata parcijalne ispite i kolokvije koje student nije položio u okviru predispitnih obaveza, odnosno nije ostvario predviđeni minimum bodova. Student koji položi parcijalne ispite i kolokvije sa ukupno 55 - 100 bodova u okviru predispitnih obaveza stiče pravo na upis ocjene na prvom redovnom ispitnom roku. </w:t>
            </w:r>
          </w:p>
          <w:p w:rsidR="00045FEC" w:rsidRDefault="00B64FB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Konačna ocjena predstavlja zbir ostvarenih bodova iz 2 parcijalna ispita, 2 kolokvija, prisustva i aktivnosti na predavanjima i aktivnosti na vježbama. </w:t>
            </w:r>
          </w:p>
          <w:p w:rsidR="00045FEC" w:rsidRDefault="00B64FB1">
            <w:pPr>
              <w:pStyle w:val="NoSpacing"/>
              <w:spacing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Bodovna vrijednost provjera znanja (min - max):</w:t>
            </w:r>
          </w:p>
          <w:p w:rsidR="00045FEC" w:rsidRDefault="00B64FB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Aktivnost na predavanjima      1 - 3   boda</w:t>
            </w:r>
          </w:p>
          <w:p w:rsidR="00045FEC" w:rsidRDefault="00B64FB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Aktivnost na vježbama               0 - 7   bodova</w:t>
            </w:r>
          </w:p>
          <w:p w:rsidR="00045FEC" w:rsidRDefault="00B64FB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Prvi parcijalni ispit                  18 - 30  bodova</w:t>
            </w:r>
          </w:p>
          <w:p w:rsidR="00045FEC" w:rsidRDefault="00B64FB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Drugi parcijalni ispit               18-  30  bodova</w:t>
            </w:r>
          </w:p>
          <w:p w:rsidR="00045FEC" w:rsidRDefault="00B64FB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Prvi kolokvij                                  9- 15   bodova</w:t>
            </w:r>
          </w:p>
          <w:p w:rsidR="00045FEC" w:rsidRDefault="00B64FB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Drugi kolokvij                               9- 15   bodova</w:t>
            </w:r>
          </w:p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UKUPNO                                     55 - 100 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>Konačan uspjeh studenta nakon svih predviđenih oblika znanja, vrednuje se i ocjenjue sistemom uporedivim sa ECTS skalom ocjenjivanja , kako slijedi:</w:t>
            </w:r>
          </w:p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        </w:t>
            </w:r>
            <w:r>
              <w:rPr>
                <w:rFonts w:ascii="Cambria" w:eastAsia="Cambria" w:hAnsi="Cambria" w:cs="Cambria"/>
                <w:b/>
                <w:sz w:val="18"/>
                <w:szCs w:val="18"/>
              </w:rPr>
              <w:t>Osvojen broj bodova     Ocjena  (BiH)    (ECTS ocjena)</w:t>
            </w:r>
          </w:p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      &lt;55,00                                     5                        F</w:t>
            </w:r>
          </w:p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      55,00-64,00                           6                        E</w:t>
            </w:r>
          </w:p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      65,00-74,00                          7                        D</w:t>
            </w:r>
          </w:p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      75,00-84,00                          8                        C</w:t>
            </w:r>
          </w:p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      85,00-94,00                          9                        B</w:t>
            </w:r>
          </w:p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      95,00-100                             10                      A  </w:t>
            </w:r>
          </w:p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             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B64F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Lieberman, M, Marks, AD, Smith, C. Marksove osnove medicinske biohemije, Klinički pristup. SP PRINT Novi Sad; Beograd, 2008.</w:t>
            </w:r>
          </w:p>
          <w:p w:rsidR="00045FEC" w:rsidRDefault="00B64FB1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Begić, Berbić, Mujagić, Mehikić. Praktikum iz biohemije sa teoretskim osnovama PrintCom,Tuzla 2004.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</w:p>
          <w:p w:rsidR="00045FEC" w:rsidRDefault="00045FEC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045FEC" w:rsidRDefault="00B64FB1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Nelson and Cox, Lehninger Principles of Biochemistry, 4th Edition 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B64FB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612" w:type="dxa"/>
            <w:gridSpan w:val="30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7"/>
            <w:tcBorders>
              <w:top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33"/>
          <w:wAfter w:w="8788" w:type="dxa"/>
          <w:trHeight w:val="329"/>
        </w:trPr>
        <w:tc>
          <w:tcPr>
            <w:tcW w:w="1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2D4958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2026/27</w:t>
            </w:r>
            <w:bookmarkStart w:id="3" w:name="_GoBack"/>
            <w:bookmarkEnd w:id="3"/>
            <w:r w:rsidR="00B64FB1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</w:t>
            </w:r>
          </w:p>
        </w:tc>
      </w:tr>
      <w:tr w:rsidR="00045FEC">
        <w:trPr>
          <w:trHeight w:val="113"/>
        </w:trPr>
        <w:tc>
          <w:tcPr>
            <w:tcW w:w="1909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702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612" w:type="dxa"/>
            <w:gridSpan w:val="30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B64FB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7"/>
            <w:tcBorders>
              <w:top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33"/>
          <w:wAfter w:w="8788" w:type="dxa"/>
          <w:trHeight w:val="329"/>
        </w:trPr>
        <w:tc>
          <w:tcPr>
            <w:tcW w:w="1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B64FB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</w:tr>
      <w:tr w:rsidR="00045FEC">
        <w:trPr>
          <w:trHeight w:val="113"/>
        </w:trPr>
        <w:tc>
          <w:tcPr>
            <w:tcW w:w="1909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2702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</w:tr>
    </w:tbl>
    <w:p w:rsidR="00045FEC" w:rsidRDefault="00045FEC">
      <w:pPr>
        <w:spacing w:after="0" w:line="240" w:lineRule="auto"/>
        <w:rPr>
          <w:rFonts w:ascii="Book Antiqua" w:eastAsia="Book Antiqua" w:hAnsi="Book Antiqua" w:cs="Book Antiqua"/>
        </w:rPr>
      </w:pPr>
    </w:p>
    <w:sectPr w:rsidR="00045FE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2DD" w:rsidRDefault="00ED42DD">
      <w:pPr>
        <w:spacing w:line="240" w:lineRule="auto"/>
      </w:pPr>
      <w:r>
        <w:separator/>
      </w:r>
    </w:p>
  </w:endnote>
  <w:endnote w:type="continuationSeparator" w:id="0">
    <w:p w:rsidR="00ED42DD" w:rsidRDefault="00ED42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altName w:val="Segoe Print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FEC" w:rsidRDefault="00045FEC">
    <w:pPr>
      <w:widowControl w:val="0"/>
      <w:spacing w:after="0"/>
      <w:rPr>
        <w:color w:val="000000"/>
      </w:rPr>
    </w:pPr>
  </w:p>
  <w:tbl>
    <w:tblPr>
      <w:tblStyle w:val="Style42"/>
      <w:tblW w:w="10262" w:type="dxa"/>
      <w:tblBorders>
        <w:top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045FEC">
      <w:trPr>
        <w:trHeight w:val="445"/>
      </w:trPr>
      <w:tc>
        <w:tcPr>
          <w:tcW w:w="1465" w:type="dxa"/>
          <w:tcMar>
            <w:top w:w="28" w:type="dxa"/>
          </w:tcMar>
        </w:tcPr>
        <w:p w:rsidR="00045FEC" w:rsidRDefault="00B64FB1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10.5.2024</w:t>
          </w:r>
        </w:p>
      </w:tc>
      <w:tc>
        <w:tcPr>
          <w:tcW w:w="1159" w:type="dxa"/>
          <w:tcMar>
            <w:top w:w="28" w:type="dxa"/>
          </w:tcMar>
        </w:tcPr>
        <w:p w:rsidR="00045FEC" w:rsidRDefault="00045FE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</w:p>
      </w:tc>
      <w:tc>
        <w:tcPr>
          <w:tcW w:w="2317" w:type="dxa"/>
          <w:tcMar>
            <w:top w:w="28" w:type="dxa"/>
          </w:tcMar>
        </w:tcPr>
        <w:p w:rsidR="00045FEC" w:rsidRDefault="00B64FB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UNIVERZITET U TUZLI</w:t>
          </w:r>
        </w:p>
      </w:tc>
      <w:tc>
        <w:tcPr>
          <w:tcW w:w="1157" w:type="dxa"/>
          <w:tcMar>
            <w:top w:w="28" w:type="dxa"/>
          </w:tcMar>
        </w:tcPr>
        <w:p w:rsidR="00045FEC" w:rsidRDefault="00045FE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</w:p>
      </w:tc>
      <w:tc>
        <w:tcPr>
          <w:tcW w:w="2124" w:type="dxa"/>
          <w:tcMar>
            <w:top w:w="28" w:type="dxa"/>
          </w:tcMar>
        </w:tcPr>
        <w:p w:rsidR="00045FEC" w:rsidRDefault="00B64FB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SYLLABUS</w:t>
          </w:r>
        </w:p>
      </w:tc>
      <w:tc>
        <w:tcPr>
          <w:tcW w:w="1157" w:type="dxa"/>
          <w:tcMar>
            <w:top w:w="28" w:type="dxa"/>
          </w:tcMar>
        </w:tcPr>
        <w:p w:rsidR="00045FEC" w:rsidRDefault="00045FE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</w:p>
      </w:tc>
      <w:tc>
        <w:tcPr>
          <w:tcW w:w="883" w:type="dxa"/>
          <w:tcMar>
            <w:top w:w="28" w:type="dxa"/>
          </w:tcMar>
        </w:tcPr>
        <w:p w:rsidR="00045FEC" w:rsidRDefault="00B64FB1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 xml:space="preserve">Str. 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begin"/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instrText>PAGE</w:instrTex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separate"/>
          </w:r>
          <w:r w:rsidR="002D4958">
            <w:rPr>
              <w:rFonts w:ascii="Cambria" w:eastAsia="Cambria" w:hAnsi="Cambria" w:cs="Cambria"/>
              <w:noProof/>
              <w:color w:val="000000"/>
              <w:sz w:val="16"/>
              <w:szCs w:val="16"/>
            </w:rPr>
            <w:t>2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end"/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/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begin"/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instrText>NUMPAGES</w:instrTex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separate"/>
          </w:r>
          <w:r w:rsidR="002D4958">
            <w:rPr>
              <w:rFonts w:ascii="Cambria" w:eastAsia="Cambria" w:hAnsi="Cambria" w:cs="Cambria"/>
              <w:noProof/>
              <w:color w:val="000000"/>
              <w:sz w:val="16"/>
              <w:szCs w:val="16"/>
            </w:rPr>
            <w:t>3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end"/>
          </w:r>
        </w:p>
      </w:tc>
    </w:tr>
  </w:tbl>
  <w:p w:rsidR="00045FEC" w:rsidRDefault="00045FEC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2DD" w:rsidRDefault="00ED42DD">
      <w:pPr>
        <w:spacing w:after="0"/>
      </w:pPr>
      <w:r>
        <w:separator/>
      </w:r>
    </w:p>
  </w:footnote>
  <w:footnote w:type="continuationSeparator" w:id="0">
    <w:p w:rsidR="00ED42DD" w:rsidRDefault="00ED42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FEC" w:rsidRDefault="00045FEC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:rsidR="00045FEC" w:rsidRDefault="00045FEC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216"/>
    <w:rsid w:val="00045FEC"/>
    <w:rsid w:val="00095ACB"/>
    <w:rsid w:val="00212837"/>
    <w:rsid w:val="00262DB6"/>
    <w:rsid w:val="002A2D8F"/>
    <w:rsid w:val="002D4958"/>
    <w:rsid w:val="0037335D"/>
    <w:rsid w:val="00647BDB"/>
    <w:rsid w:val="00791D6C"/>
    <w:rsid w:val="00821977"/>
    <w:rsid w:val="00944216"/>
    <w:rsid w:val="009C4A2B"/>
    <w:rsid w:val="00B64FB1"/>
    <w:rsid w:val="00E1124B"/>
    <w:rsid w:val="00EB3CD9"/>
    <w:rsid w:val="00EC2EA7"/>
    <w:rsid w:val="00ED42DD"/>
    <w:rsid w:val="00F63DCF"/>
    <w:rsid w:val="00FB55C5"/>
    <w:rsid w:val="2CA40F4E"/>
    <w:rsid w:val="33EB2E8C"/>
    <w:rsid w:val="41922DE1"/>
    <w:rsid w:val="48775B70"/>
    <w:rsid w:val="499B7DE5"/>
    <w:rsid w:val="684A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5CAA2B-0CDB-4980-8305-7D6BA92E0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semiHidden="1" w:uiPriority="0" w:qFormat="1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semiHidden="1" w:unhideWhenUsed="1"/>
    <w:lsdException w:name="page number" w:locked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 w:qFormat="1"/>
    <w:lsdException w:name="FollowedHyperlink" w:semiHidden="1" w:unhideWhenUsed="1"/>
    <w:lsdException w:name="Strong" w:locked="1" w:uiPriority="22" w:qFormat="1"/>
    <w:lsdException w:name="Emphasis" w:uiPriority="20" w:qFormat="1"/>
    <w:lsdException w:name="Document Map" w:semiHidden="1" w:unhideWhenUsed="1"/>
    <w:lsdException w:name="Plain Text" w:locked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Pr>
      <w:sz w:val="16"/>
      <w:szCs w:val="16"/>
    </w:rPr>
  </w:style>
  <w:style w:type="paragraph" w:styleId="CommentText">
    <w:name w:val="annotation text"/>
    <w:basedOn w:val="Normal"/>
    <w:semiHidden/>
    <w:qFormat/>
    <w:locked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Pr>
      <w:vertAlign w:val="superscript"/>
    </w:rPr>
  </w:style>
  <w:style w:type="paragraph" w:styleId="FootnoteText">
    <w:name w:val="footnote text"/>
    <w:basedOn w:val="Normal"/>
    <w:semiHidden/>
    <w:qFormat/>
    <w:lock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Pr>
      <w:color w:val="0000FF"/>
      <w:u w:val="single"/>
    </w:rPr>
  </w:style>
  <w:style w:type="character" w:styleId="PageNumber">
    <w:name w:val="page number"/>
    <w:basedOn w:val="DefaultParagraphFont"/>
    <w:qFormat/>
    <w:locked/>
  </w:style>
  <w:style w:type="paragraph" w:styleId="PlainText">
    <w:name w:val="Plain Text"/>
    <w:basedOn w:val="Normal"/>
    <w:link w:val="PlainTextChar"/>
    <w:uiPriority w:val="99"/>
    <w:unhideWhenUsed/>
    <w:qFormat/>
    <w:locked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pPr>
      <w:spacing w:after="200" w:line="276" w:lineRule="auto"/>
    </w:pPr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Pr>
      <w:color w:val="808080"/>
    </w:rPr>
  </w:style>
  <w:style w:type="paragraph" w:styleId="ListParagraph">
    <w:name w:val="List Paragraph"/>
    <w:basedOn w:val="Normal"/>
    <w:uiPriority w:val="34"/>
    <w:qFormat/>
    <w:locked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  <w:lang w:eastAsia="en-US"/>
    </w:r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table" w:customStyle="1" w:styleId="Style40">
    <w:name w:val="_Style 40"/>
    <w:basedOn w:val="TableNormal"/>
    <w:qFormat/>
    <w:tblPr>
      <w:tblCellMar>
        <w:left w:w="115" w:type="dxa"/>
        <w:right w:w="85" w:type="dxa"/>
      </w:tblCellMar>
    </w:tblPr>
  </w:style>
  <w:style w:type="table" w:customStyle="1" w:styleId="Style41">
    <w:name w:val="_Style 41"/>
    <w:basedOn w:val="TableNormal"/>
    <w:qFormat/>
    <w:tblPr>
      <w:tblCellMar>
        <w:top w:w="57" w:type="dxa"/>
      </w:tblCellMar>
    </w:tblPr>
  </w:style>
  <w:style w:type="table" w:customStyle="1" w:styleId="Style42">
    <w:name w:val="_Style 42"/>
    <w:basedOn w:val="TableNormal"/>
    <w:qFormat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EAGiXOchwREU/gIiFOqNQxS1Ow==">CgMxLjAyCWlkLmdqZGd4czIKaWQuMzBqMHpsbDIKaWQuMWZvYjl0ZTIJaC4zem55c2g3OAByITFoWTNDb3VOSzNoUnlXMWRhMGJycV9JcHhVQ1o1ZmVvVw==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2024-08-28T18:55:00Z</cp:lastPrinted>
  <dcterms:created xsi:type="dcterms:W3CDTF">2026-03-10T08:34:00Z</dcterms:created>
  <dcterms:modified xsi:type="dcterms:W3CDTF">2026-03-11T11:56:00Z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7C2899466C7F498A9C897D9798C2C390_13</vt:lpwstr>
  </property>
</Properties>
</file>